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20" w:rsidRDefault="004A23A6">
      <w:pPr>
        <w:ind w:left="11622"/>
        <w:rPr>
          <w:rFonts w:ascii="Liberation Serif" w:hAnsi="Liberation Serif"/>
          <w:i w:val="0"/>
        </w:rPr>
      </w:pPr>
      <w:proofErr w:type="gramStart"/>
      <w:r>
        <w:rPr>
          <w:rFonts w:ascii="Liberation Serif" w:hAnsi="Liberation Serif"/>
          <w:i w:val="0"/>
        </w:rPr>
        <w:t xml:space="preserve">Приложение №2 к муниципальной программе «Управление муниципальной собственностью, земельными ресурсами муниципального образования «Каменский городской округ» до 2026 года» утвержденной постановлением Главы городского округа от 13.11.2020 №1634 (в редакции </w:t>
      </w:r>
      <w:r>
        <w:rPr>
          <w:rFonts w:ascii="Liberation Serif" w:hAnsi="Liberation Serif"/>
          <w:i w:val="0"/>
        </w:rPr>
        <w:t xml:space="preserve">от 31.03.2021 №443, от 17.06.2021 №950, от 19.07.2021. №1204, от 20.12.2021 № 2149, от 30.12.2021 № 2253, от 24.05.2022           № </w:t>
      </w:r>
      <w:r>
        <w:rPr>
          <w:rFonts w:ascii="Liberation Serif" w:hAnsi="Liberation Serif"/>
          <w:i w:val="0"/>
        </w:rPr>
        <w:t xml:space="preserve">1017, </w:t>
      </w:r>
      <w:r>
        <w:rPr>
          <w:rFonts w:ascii="Liberation Serif" w:eastAsia="Times New Roman" w:hAnsi="Liberation Serif"/>
          <w:i w:val="0"/>
          <w:iCs w:val="0"/>
          <w:lang w:eastAsia="ru-RU"/>
        </w:rPr>
        <w:t>от 19.08.2022  № 1793,              от 07.11.2022 № 2340, от 30.12.2022 № 2879  от 13.07.2023</w:t>
      </w:r>
      <w:r>
        <w:rPr>
          <w:rFonts w:ascii="Liberation Serif" w:eastAsia="Times New Roman" w:hAnsi="Liberation Serif"/>
          <w:i w:val="0"/>
          <w:iCs w:val="0"/>
          <w:lang w:eastAsia="ru-RU"/>
        </w:rPr>
        <w:t xml:space="preserve"> № 1291</w:t>
      </w:r>
      <w:bookmarkStart w:id="0" w:name="_GoBack"/>
      <w:bookmarkEnd w:id="0"/>
      <w:r>
        <w:rPr>
          <w:rFonts w:ascii="Liberation Serif" w:hAnsi="Liberation Serif"/>
          <w:i w:val="0"/>
        </w:rPr>
        <w:t>)</w:t>
      </w:r>
      <w:proofErr w:type="gramEnd"/>
    </w:p>
    <w:p w:rsidR="00F60220" w:rsidRDefault="004A23A6">
      <w:pPr>
        <w:spacing w:after="0" w:line="240" w:lineRule="auto"/>
        <w:jc w:val="center"/>
        <w:rPr>
          <w:rFonts w:ascii="Liberation Serif" w:hAnsi="Liberation Serif"/>
          <w:i w:val="0"/>
        </w:rPr>
      </w:pPr>
      <w:r>
        <w:rPr>
          <w:rFonts w:ascii="Liberation Serif" w:hAnsi="Liberation Serif"/>
          <w:i w:val="0"/>
        </w:rPr>
        <w:t>ПЛАН МЕРОПР</w:t>
      </w:r>
      <w:r>
        <w:rPr>
          <w:rFonts w:ascii="Liberation Serif" w:hAnsi="Liberation Serif"/>
          <w:i w:val="0"/>
        </w:rPr>
        <w:t>ИЯТИЙ</w:t>
      </w:r>
    </w:p>
    <w:p w:rsidR="00F60220" w:rsidRDefault="004A23A6">
      <w:pPr>
        <w:spacing w:after="0" w:line="240" w:lineRule="auto"/>
        <w:jc w:val="center"/>
        <w:rPr>
          <w:rFonts w:ascii="Liberation Serif" w:hAnsi="Liberation Serif"/>
          <w:i w:val="0"/>
        </w:rPr>
      </w:pPr>
      <w:r>
        <w:rPr>
          <w:rFonts w:ascii="Liberation Serif" w:hAnsi="Liberation Serif"/>
          <w:i w:val="0"/>
        </w:rPr>
        <w:t>по выполнению муниципальной программы</w:t>
      </w:r>
    </w:p>
    <w:p w:rsidR="00F60220" w:rsidRDefault="004A23A6">
      <w:pPr>
        <w:spacing w:after="0" w:line="240" w:lineRule="auto"/>
        <w:jc w:val="center"/>
        <w:rPr>
          <w:rFonts w:ascii="Liberation Serif" w:hAnsi="Liberation Serif"/>
          <w:i w:val="0"/>
        </w:rPr>
      </w:pPr>
      <w:r>
        <w:rPr>
          <w:rFonts w:ascii="Liberation Serif" w:hAnsi="Liberation Serif"/>
          <w:i w:val="0"/>
        </w:rPr>
        <w:t>«УПРАВЛЕНИЕ МУНИЦИПАЛЬНОЙ СОБСТВЕННОСТЬЮ И ЗЕМЕЛЬНЫМИ РЕСУРСАМИ</w:t>
      </w:r>
    </w:p>
    <w:p w:rsidR="00F60220" w:rsidRDefault="004A23A6">
      <w:pPr>
        <w:spacing w:after="0" w:line="240" w:lineRule="auto"/>
        <w:jc w:val="center"/>
        <w:rPr>
          <w:rFonts w:ascii="Liberation Serif" w:hAnsi="Liberation Serif"/>
          <w:i w:val="0"/>
        </w:rPr>
      </w:pPr>
      <w:r>
        <w:rPr>
          <w:rFonts w:ascii="Liberation Serif" w:hAnsi="Liberation Serif"/>
          <w:i w:val="0"/>
        </w:rPr>
        <w:t>МУНИЦИПАЛЬНОГО ОБРАЗОВАНИЯ</w:t>
      </w:r>
    </w:p>
    <w:p w:rsidR="00F60220" w:rsidRDefault="004A23A6">
      <w:pPr>
        <w:spacing w:after="0" w:line="240" w:lineRule="auto"/>
        <w:jc w:val="center"/>
        <w:rPr>
          <w:rFonts w:ascii="Liberation Serif" w:hAnsi="Liberation Serif"/>
          <w:i w:val="0"/>
        </w:rPr>
      </w:pPr>
      <w:r>
        <w:rPr>
          <w:rFonts w:ascii="Liberation Serif" w:hAnsi="Liberation Serif"/>
          <w:i w:val="0"/>
        </w:rPr>
        <w:t>«КАМЕНСКИЙ ГОРОДСКОЙ ОКРУГ» ДО 2026 ГОДА»</w:t>
      </w:r>
    </w:p>
    <w:p w:rsidR="00F60220" w:rsidRDefault="00F60220">
      <w:pPr>
        <w:spacing w:after="0" w:line="240" w:lineRule="auto"/>
        <w:jc w:val="center"/>
        <w:rPr>
          <w:rFonts w:ascii="Liberation Serif" w:hAnsi="Liberation Serif"/>
          <w:i w:val="0"/>
        </w:rPr>
      </w:pPr>
    </w:p>
    <w:tbl>
      <w:tblPr>
        <w:tblW w:w="15316" w:type="dxa"/>
        <w:tblInd w:w="206" w:type="dxa"/>
        <w:tblLayout w:type="fixed"/>
        <w:tblLook w:val="04A0" w:firstRow="1" w:lastRow="0" w:firstColumn="1" w:lastColumn="0" w:noHBand="0" w:noVBand="1"/>
      </w:tblPr>
      <w:tblGrid>
        <w:gridCol w:w="892"/>
        <w:gridCol w:w="4842"/>
        <w:gridCol w:w="1080"/>
        <w:gridCol w:w="951"/>
        <w:gridCol w:w="974"/>
        <w:gridCol w:w="1020"/>
        <w:gridCol w:w="961"/>
        <w:gridCol w:w="1020"/>
        <w:gridCol w:w="1020"/>
        <w:gridCol w:w="2556"/>
      </w:tblGrid>
      <w:tr w:rsidR="00F60220">
        <w:trPr>
          <w:trHeight w:val="10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Номер строки</w:t>
            </w:r>
          </w:p>
        </w:tc>
        <w:tc>
          <w:tcPr>
            <w:tcW w:w="4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Все</w:t>
            </w: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го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2021</w:t>
            </w:r>
          </w:p>
        </w:tc>
        <w:tc>
          <w:tcPr>
            <w:tcW w:w="9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2022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2023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2024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2025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2026</w:t>
            </w:r>
          </w:p>
        </w:tc>
        <w:tc>
          <w:tcPr>
            <w:tcW w:w="2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i w:val="0"/>
                <w:iCs w:val="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126 700,9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16 029,0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19 </w:t>
            </w:r>
            <w:r>
              <w:rPr>
                <w:rFonts w:ascii="Liberation Serif" w:hAnsi="Liberation Serif"/>
                <w:i w:val="0"/>
              </w:rPr>
              <w:t>279,0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23 359,0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370,1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831,9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831,9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126 700,9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16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029,0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19 </w:t>
            </w:r>
            <w:r>
              <w:rPr>
                <w:rFonts w:ascii="Liberation Serif" w:hAnsi="Liberation Serif"/>
                <w:i w:val="0"/>
              </w:rPr>
              <w:t>279,0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23 359,0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370,1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831,9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831,9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Прочие нужды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126 700,9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16 029,0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19 </w:t>
            </w:r>
            <w:r>
              <w:rPr>
                <w:rFonts w:ascii="Liberation Serif" w:hAnsi="Liberation Serif"/>
                <w:i w:val="0"/>
              </w:rPr>
              <w:t>279,0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23 359,0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370,1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831,9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831,9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126 700,9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16 029,0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19 </w:t>
            </w:r>
            <w:r>
              <w:rPr>
                <w:rFonts w:ascii="Liberation Serif" w:hAnsi="Liberation Serif"/>
                <w:i w:val="0"/>
              </w:rPr>
              <w:t>279,0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23 359,0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370,1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831,9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22 </w:t>
            </w:r>
            <w:r>
              <w:rPr>
                <w:rFonts w:ascii="Liberation Serif" w:hAnsi="Liberation Serif"/>
                <w:i w:val="0"/>
              </w:rPr>
              <w:t>831,9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ПОДПРОГРАММА  1. УПРАВЛЕНИЕ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МУНИЦИПАЛЬНОЙ СОБСТВЕННОСТЬЮ КАМЕНСКОГО ГОРОДСКОГО ОКРУГА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ВСЕГО ПО ПОДПРОГРАММЕ, В ТОМ ЧИСЛЕ: УПРАВЛЕНИЕ МУНИЦИПАЛЬНОЙ СОБСТВЕННОСТЬЮ КАМЕНСКОГО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lastRenderedPageBreak/>
              <w:t>38 944,5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4 </w:t>
            </w:r>
            <w:r>
              <w:rPr>
                <w:rFonts w:ascii="Liberation Serif" w:hAnsi="Liberation Serif"/>
                <w:i w:val="0"/>
              </w:rPr>
              <w:t>699,9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5 </w:t>
            </w:r>
            <w:r>
              <w:rPr>
                <w:rFonts w:ascii="Liberation Serif" w:hAnsi="Liberation Serif"/>
                <w:i w:val="0"/>
              </w:rPr>
              <w:t>753,0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7 997,0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817,6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838,5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838,5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lastRenderedPageBreak/>
              <w:t>7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38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944,5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4 </w:t>
            </w:r>
            <w:r>
              <w:rPr>
                <w:rFonts w:ascii="Liberation Serif" w:hAnsi="Liberation Serif"/>
                <w:i w:val="0"/>
              </w:rPr>
              <w:t>699,9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5 </w:t>
            </w:r>
            <w:r>
              <w:rPr>
                <w:rFonts w:ascii="Liberation Serif" w:hAnsi="Liberation Serif"/>
                <w:i w:val="0"/>
              </w:rPr>
              <w:t>753,0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7 997,0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817,6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838,5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838,5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8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«Прочие нужды»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38 944,5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4 </w:t>
            </w:r>
            <w:r>
              <w:rPr>
                <w:rFonts w:ascii="Liberation Serif" w:hAnsi="Liberation Serif"/>
                <w:i w:val="0"/>
              </w:rPr>
              <w:t>699,9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5 </w:t>
            </w:r>
            <w:r>
              <w:rPr>
                <w:rFonts w:ascii="Liberation Serif" w:hAnsi="Liberation Serif"/>
                <w:i w:val="0"/>
              </w:rPr>
              <w:t>753,0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7 997,0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817,6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838,5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838,5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38 944,5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4 </w:t>
            </w:r>
            <w:r>
              <w:rPr>
                <w:rFonts w:ascii="Liberation Serif" w:hAnsi="Liberation Serif"/>
                <w:i w:val="0"/>
              </w:rPr>
              <w:t>699,9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5 </w:t>
            </w:r>
            <w:r>
              <w:rPr>
                <w:rFonts w:ascii="Liberation Serif" w:hAnsi="Liberation Serif"/>
                <w:i w:val="0"/>
              </w:rPr>
              <w:t>753,0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7 997,0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817,6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838,5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hAnsi="Liberation Serif"/>
                <w:i w:val="0"/>
              </w:rPr>
              <w:t>838,5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11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Мероприятие 1.1. Расходы на проведение </w:t>
            </w:r>
            <w:proofErr w:type="spellStart"/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инвентаризационно</w:t>
            </w:r>
            <w:proofErr w:type="spellEnd"/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-технических, кадастровых и учетно-технических работ и независимой оценки в отношении имущества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6 700,00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1.1.1., 1.2.1., 1.2.2., 1.3.1.,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1.3.2.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6 700,00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Мероприятие 1.2. Расходы на ремонт и содержание зданий и сооружений, находящихся в муниципальной собственности (казне)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4 832,3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587,7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553,0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1 797,0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617,6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638,5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638,5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1.2.4.,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 4.1.1., 4.1.2.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14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4 832,3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587,7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553,0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1 797,0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617,6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638,5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638,5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15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Мероприятие 1.3. Агентское вознаграждение по договору (плата за </w:t>
            </w:r>
            <w:proofErr w:type="spellStart"/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найм</w:t>
            </w:r>
            <w:proofErr w:type="spellEnd"/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2.1.1.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16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17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Мероприятие 1.4. Ремонт общего имущества в многоквартирном доме и взносы в Региональный фонд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15 112,2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2 612,2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1.2.4.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18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15 112,2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2 612,2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2500,0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19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Мероприятие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 1.5. Осуществление мероприятий по определению износа, обследованию и оценке технического состояния зданий муниципального имущества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1 200,0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1.2.2.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1 200,0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21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Мероприятие 1.6. Ремонт муниципального жилищного фонда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10 500,0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800,0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1 700,0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2 000,0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2 000,0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2 000,0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2 000,0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1.2.3.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22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10 500,0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800,0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1 700,0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2 000,0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2 000,0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2 000,0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2 000,0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132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23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Мероприятие 1.7. Осуществление  мероприятий по актуализации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паспортов организации дорожного движения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3.1.4</w:t>
            </w:r>
          </w:p>
        </w:tc>
      </w:tr>
      <w:tr w:rsidR="00F60220">
        <w:trPr>
          <w:trHeight w:val="132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hAnsi="Liberation Serif"/>
                <w:i w:val="0"/>
                <w:iCs w:val="0"/>
              </w:rPr>
            </w:pPr>
            <w:r>
              <w:rPr>
                <w:rFonts w:ascii="Liberation Serif" w:hAnsi="Liberation Serif"/>
                <w:i w:val="0"/>
                <w:iCs w:val="0"/>
              </w:rPr>
              <w:t>24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hAnsi="Liberation Serif"/>
                <w:i w:val="0"/>
                <w:iCs w:val="0"/>
              </w:rPr>
            </w:pPr>
            <w:r>
              <w:rPr>
                <w:rFonts w:ascii="Liberation Serif" w:hAnsi="Liberation Serif"/>
                <w:i w:val="0"/>
                <w:iCs w:val="0"/>
              </w:rPr>
              <w:t>25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 w:val="0"/>
              </w:rPr>
              <w:t xml:space="preserve">Мероприятие 1.8. Мероприятия по предоставлению налоговых льгот налогоплательщикам в отношении земельных участков, предназначенных для размещения объектов </w:t>
            </w:r>
            <w:r>
              <w:rPr>
                <w:rFonts w:ascii="Liberation Serif" w:hAnsi="Liberation Serif"/>
                <w:i w:val="0"/>
              </w:rPr>
              <w:t xml:space="preserve">образования, науки, здравоохранения, социального обеспечения, </w:t>
            </w:r>
            <w:r>
              <w:rPr>
                <w:rFonts w:ascii="Liberation Serif" w:hAnsi="Liberation Serif"/>
                <w:i w:val="0"/>
              </w:rPr>
              <w:lastRenderedPageBreak/>
              <w:t>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</w:t>
            </w:r>
            <w:r>
              <w:rPr>
                <w:rFonts w:ascii="Liberation Serif" w:hAnsi="Liberation Serif"/>
                <w:i w:val="0"/>
              </w:rPr>
              <w:t>ждения функций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lastRenderedPageBreak/>
              <w:t>-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1.1.2.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i w:val="0"/>
              </w:rPr>
            </w:pPr>
            <w:r>
              <w:rPr>
                <w:i w:val="0"/>
              </w:rPr>
              <w:lastRenderedPageBreak/>
              <w:t>26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i w:val="0"/>
              </w:rPr>
            </w:pPr>
            <w:r>
              <w:rPr>
                <w:i w:val="0"/>
              </w:rPr>
              <w:t>местный бюджет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i w:val="0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i w:val="0"/>
              </w:rPr>
            </w:pPr>
            <w:r>
              <w:rPr>
                <w:i w:val="0"/>
              </w:rPr>
              <w:t>27</w:t>
            </w:r>
          </w:p>
        </w:tc>
        <w:tc>
          <w:tcPr>
            <w:tcW w:w="4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1 200,0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0,0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1 200,0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0,0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28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ПОДПРОГРАММА  2. УПРАВЛЕНИЕ ЗЕМЕЛЬНЫМИ РЕСУРСАМИ, РАСПОЛОЖЕННЫМИ НА ТЕРРИТОРИИ МО «КАМЕНСКИЙ ГОРОДСКОЙ ОКРУГ»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29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ВСЕГО ПО ПОДПРОГРАММЕ, В ТОМ ЧИСЛЕ: УПРАВЛЕНИЕ ЗЕМЕЛЬНЫМИ РЕСУРСАМИ, РАСПОЛОЖЕННЫМИ НА ТЕРРИТОРИИ МО «КАМЕНСКИЙ ГОРОДСКОЙ ОКРУГ»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10 9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1 0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2 600,0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371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10 9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1 0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2 600,0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31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«Прочие нужды»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32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10 9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1 0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2 600,0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33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10 9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1 0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2 600,0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2 200,0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34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Мероприятие 2.1. Формирование и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рыночная оценка земельных участков (кадастровые работы, межевание, паспортизация, развитие геодезической сети, оценка земельных участков)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9 100,0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2 300,0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1 900,0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1 900,0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1 900,0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5.1.1., 5.1.2., 5.2.1.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35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9 100,0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2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1 900,0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1 900,0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1 900,0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36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Мероприятие 2.2. Проведение мероприятий по взысканию недоимки по арендной плате, пеней (приобретение почтовых марок, маркированных конвертов, маркированных почтовых уведомлений, отправка писем с уведомлением)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1 800,0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5.1.2.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37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1 800,0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300,0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38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Мероприятие 2.3. Организация использования и охраны городских лесов (проведение подготовительных, полевых, камеральных, кадастровых работ по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лесоустройству и подготовка межевых планов)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5.1.1., 5.1.2.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39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lastRenderedPageBreak/>
              <w:t>40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ПОДПРОГРАММА  3. ОБЕСПЕЧЕНИЕ РЕАЛИЗАЦИИ МУНИЦИПАЛЬНОЙ ПРОГРАММЫ "УПРАВЛЕНИЕ МУНИЦИПАЛЬНОЙ СОБСТВЕННОСТЬЮ, ЗЕМЕЛЬНЫМИ РЕСУРСАМИ МУНИЦИПАЛЬНОГО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ОБРАЗОВАНИЯ «КАМЕНСКИЙ ГОРОДСКОЙ ОКРУГ» ДО 2026 ГОДА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41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ВСЕГО ПО ПОДПРОГРАММЕ, В ТОМ ЧИСЛЕ: ОБЕСПЕЧЕНИЕ РЕАЛИЗАЦИИ МУНИЦИПАЛЬНОЙ ПРОГРАММЫ "УПРАВЛЕНИЕ МУНИЦИПАЛЬНОЙ СОБСТВЕННОСТЬЮ, ЗЕМЕЛЬНЫМИ РЕСУРСАМИ МУНИЦИПАЛЬНОГО ОБРАЗОВАНИЯ «КАМЕНСКИЙ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ГОРОДСКОЙ ОКРУГ» ДО 2026 ГОДА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76 856,4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10 629,1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12 526,0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12 762,0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13 352,5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13 793,4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13 793,4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42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76 856,4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10 629,1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12 526,0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12 762,0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13 352,5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13 793,4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13 793,4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43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«Прочие нужды»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44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Всего по направлению «Прочие нужды», в том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числе: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76 856,4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10 629,1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12 526,0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12 762,0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13 352,5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13 793,4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13 793,4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45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76 856,4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10 629,1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12 526,0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12 762,0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13 352,5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13 793,4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13 793,4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46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Мероприятие 3.1. Обеспечение деятельности органов местного самоуправления (центральный аппарат)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69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 086,5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98,2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11 290,3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11 476,1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12 015,7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12 403,1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12 403,1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6.1.1.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47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69 086,5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9 4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98,2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11 290,3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11 476,1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12 015,7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12 403,1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12 403,1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48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Мероприятие 3.2. Организация мероприятий по профессиональной подготовке, переподготовке и повышению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квалификации муниципальных служащих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958,2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145,3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151,2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157,4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163,7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170,3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170,3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6.1.2.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49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958,2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145,3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151,2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157,4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163,7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170,3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170,3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50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Мероприятие 3.3. Проведение диспансеризации муниципальных служащих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313,6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47,6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49,5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51,5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53,6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55,7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55,7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6.1.3.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51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313,6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47,6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49,5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51,5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53,6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55,7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55,7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  <w:tr w:rsidR="00F60220">
        <w:trPr>
          <w:trHeight w:val="528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52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Мероприятие 3.4. Управление информационными технологиями, создание и техническое сопровождение информационно </w:t>
            </w:r>
            <w:proofErr w:type="gramStart"/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-к</w:t>
            </w:r>
            <w:proofErr w:type="gramEnd"/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оммуникационной инфраструктуры в сфере реализации муниципальной программы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 xml:space="preserve">6 </w:t>
            </w: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498,1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938,0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1 035,0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1 077,00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1 119,5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1 164,3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1 164,3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6.1.4.</w:t>
            </w:r>
          </w:p>
        </w:tc>
      </w:tr>
      <w:tr w:rsidR="00F60220">
        <w:trPr>
          <w:trHeight w:val="264"/>
        </w:trPr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53</w:t>
            </w:r>
          </w:p>
        </w:tc>
        <w:tc>
          <w:tcPr>
            <w:tcW w:w="4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6 498,1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938,0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1 035,0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1 077,00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1 119,5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1 164,3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4A23A6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  <w:r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  <w:t>1 164,3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220" w:rsidRDefault="00F60220">
            <w:pPr>
              <w:widowControl w:val="0"/>
              <w:spacing w:after="0" w:line="240" w:lineRule="auto"/>
              <w:rPr>
                <w:rFonts w:ascii="Liberation Serif" w:eastAsia="Times New Roman" w:hAnsi="Liberation Serif" w:cs="Arial"/>
                <w:i w:val="0"/>
                <w:iCs w:val="0"/>
                <w:lang w:eastAsia="ru-RU"/>
              </w:rPr>
            </w:pPr>
          </w:p>
        </w:tc>
      </w:tr>
    </w:tbl>
    <w:p w:rsidR="00F60220" w:rsidRDefault="00F60220">
      <w:pPr>
        <w:spacing w:after="0" w:line="240" w:lineRule="auto"/>
        <w:jc w:val="center"/>
        <w:rPr>
          <w:rFonts w:ascii="Liberation Serif" w:hAnsi="Liberation Serif"/>
          <w:i w:val="0"/>
        </w:rPr>
      </w:pPr>
    </w:p>
    <w:sectPr w:rsidR="00F60220">
      <w:pgSz w:w="16838" w:h="11906" w:orient="landscape"/>
      <w:pgMar w:top="850" w:right="536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A0000AAF" w:usb1="500078FB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2"/>
  </w:compat>
  <w:rsids>
    <w:rsidRoot w:val="00F60220"/>
    <w:rsid w:val="004A23A6"/>
    <w:rsid w:val="00F6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C3"/>
    <w:pPr>
      <w:spacing w:after="200" w:line="288" w:lineRule="auto"/>
    </w:pPr>
    <w:rPr>
      <w:i/>
      <w:iCs/>
      <w:szCs w:val="20"/>
    </w:rPr>
  </w:style>
  <w:style w:type="paragraph" w:styleId="1">
    <w:name w:val="heading 1"/>
    <w:basedOn w:val="a"/>
    <w:next w:val="a"/>
    <w:uiPriority w:val="9"/>
    <w:qFormat/>
    <w:rsid w:val="00806B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pacing w:before="480" w:after="100" w:line="264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806BC3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4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rsid w:val="00806BC3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rsid w:val="00806BC3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uiPriority w:val="9"/>
    <w:semiHidden/>
    <w:unhideWhenUsed/>
    <w:qFormat/>
    <w:rsid w:val="00806BC3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806BC3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uiPriority w:val="9"/>
    <w:semiHidden/>
    <w:unhideWhenUsed/>
    <w:qFormat/>
    <w:rsid w:val="00806BC3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uiPriority w:val="9"/>
    <w:semiHidden/>
    <w:unhideWhenUsed/>
    <w:qFormat/>
    <w:rsid w:val="00806BC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uiPriority w:val="9"/>
    <w:semiHidden/>
    <w:unhideWhenUsed/>
    <w:qFormat/>
    <w:rsid w:val="00806BC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/>
    </w:rPr>
  </w:style>
  <w:style w:type="character" w:customStyle="1" w:styleId="20">
    <w:name w:val="Заголовок 2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customStyle="1" w:styleId="a3">
    <w:name w:val="Название Знак"/>
    <w:basedOn w:val="a0"/>
    <w:uiPriority w:val="10"/>
    <w:qFormat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/>
    </w:rPr>
  </w:style>
  <w:style w:type="character" w:customStyle="1" w:styleId="a4">
    <w:name w:val="Подзаголовок Знак"/>
    <w:basedOn w:val="a0"/>
    <w:uiPriority w:val="11"/>
    <w:qFormat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5">
    <w:name w:val="Strong"/>
    <w:uiPriority w:val="22"/>
    <w:qFormat/>
    <w:rsid w:val="00806BC3"/>
    <w:rPr>
      <w:b/>
      <w:bCs/>
      <w:spacing w:val="0"/>
    </w:rPr>
  </w:style>
  <w:style w:type="character" w:styleId="a6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/>
      <w:shd w:val="clear" w:color="auto" w:fill="F2DBDB"/>
    </w:rPr>
  </w:style>
  <w:style w:type="character" w:customStyle="1" w:styleId="a7">
    <w:name w:val="Без интервала Знак"/>
    <w:basedOn w:val="a0"/>
    <w:uiPriority w:val="1"/>
    <w:qFormat/>
    <w:rsid w:val="00806BC3"/>
    <w:rPr>
      <w:i/>
      <w:iCs/>
      <w:sz w:val="20"/>
      <w:szCs w:val="20"/>
    </w:rPr>
  </w:style>
  <w:style w:type="character" w:customStyle="1" w:styleId="21">
    <w:name w:val="Цитата 2 Знак"/>
    <w:basedOn w:val="a0"/>
    <w:link w:val="22"/>
    <w:uiPriority w:val="29"/>
    <w:qFormat/>
    <w:rsid w:val="00806BC3"/>
    <w:rPr>
      <w:color w:val="943634" w:themeColor="accent2" w:themeShade="BF"/>
      <w:sz w:val="20"/>
      <w:szCs w:val="20"/>
    </w:rPr>
  </w:style>
  <w:style w:type="character" w:customStyle="1" w:styleId="a8">
    <w:name w:val="Выделенная цитата Знак"/>
    <w:basedOn w:val="a0"/>
    <w:uiPriority w:val="3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9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a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strike w:val="0"/>
      <w:dstrike w:val="0"/>
      <w:color w:val="FFFFFF" w:themeColor="background1"/>
      <w:position w:val="0"/>
      <w:sz w:val="20"/>
      <w:bdr w:val="single" w:sz="18" w:space="0" w:color="C0504D"/>
      <w:shd w:val="clear" w:color="auto" w:fill="C0504D"/>
      <w:vertAlign w:val="baseline"/>
    </w:rPr>
  </w:style>
  <w:style w:type="character" w:styleId="ab">
    <w:name w:val="Subtle Reference"/>
    <w:uiPriority w:val="31"/>
    <w:qFormat/>
    <w:rsid w:val="00806BC3"/>
    <w:rPr>
      <w:i/>
      <w:iCs/>
      <w:smallCaps/>
      <w:color w:val="C0504D" w:themeColor="accent2"/>
      <w:u w:val="none" w:color="C0504D"/>
    </w:rPr>
  </w:style>
  <w:style w:type="character" w:styleId="ac">
    <w:name w:val="Intense Reference"/>
    <w:uiPriority w:val="32"/>
    <w:qFormat/>
    <w:rsid w:val="00806BC3"/>
    <w:rPr>
      <w:b/>
      <w:bCs/>
      <w:i/>
      <w:iCs/>
      <w:smallCaps/>
      <w:color w:val="C0504D" w:themeColor="accent2"/>
      <w:u w:val="none" w:color="C0504D"/>
    </w:rPr>
  </w:style>
  <w:style w:type="character" w:styleId="ad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character" w:customStyle="1" w:styleId="ae">
    <w:name w:val="Верхний колонтитул Знак"/>
    <w:basedOn w:val="a0"/>
    <w:uiPriority w:val="99"/>
    <w:qFormat/>
    <w:rsid w:val="00AA7F8C"/>
    <w:rPr>
      <w:i/>
      <w:iCs/>
      <w:sz w:val="20"/>
      <w:szCs w:val="20"/>
    </w:rPr>
  </w:style>
  <w:style w:type="character" w:customStyle="1" w:styleId="af">
    <w:name w:val="Нижний колонтитул Знак"/>
    <w:basedOn w:val="a0"/>
    <w:uiPriority w:val="99"/>
    <w:qFormat/>
    <w:rsid w:val="00AA7F8C"/>
    <w:rPr>
      <w:i/>
      <w:iCs/>
      <w:sz w:val="20"/>
      <w:szCs w:val="20"/>
    </w:rPr>
  </w:style>
  <w:style w:type="paragraph" w:customStyle="1" w:styleId="af0">
    <w:name w:val="Заголовок"/>
    <w:basedOn w:val="a"/>
    <w:next w:val="af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cs="Mangal"/>
    </w:rPr>
  </w:style>
  <w:style w:type="paragraph" w:styleId="af3">
    <w:name w:val="caption"/>
    <w:basedOn w:val="a"/>
    <w:next w:val="a"/>
    <w:uiPriority w:val="35"/>
    <w:semiHidden/>
    <w:unhideWhenUsed/>
    <w:qFormat/>
    <w:rsid w:val="00806BC3"/>
    <w:rPr>
      <w:b/>
      <w:bCs/>
      <w:color w:val="943634" w:themeColor="accent2" w:themeShade="BF"/>
      <w:sz w:val="18"/>
      <w:szCs w:val="18"/>
    </w:rPr>
  </w:style>
  <w:style w:type="paragraph" w:styleId="af4">
    <w:name w:val="index heading"/>
    <w:basedOn w:val="af0"/>
  </w:style>
  <w:style w:type="paragraph" w:styleId="af5">
    <w:name w:val="Title"/>
    <w:basedOn w:val="a"/>
    <w:next w:val="a"/>
    <w:uiPriority w:val="10"/>
    <w:qFormat/>
    <w:rsid w:val="00806BC3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paragraph" w:styleId="af6">
    <w:name w:val="Subtitle"/>
    <w:basedOn w:val="a"/>
    <w:next w:val="a"/>
    <w:uiPriority w:val="11"/>
    <w:qFormat/>
    <w:rsid w:val="00806BC3"/>
    <w:pPr>
      <w:pBdr>
        <w:bottom w:val="dotted" w:sz="8" w:space="10" w:color="C0504D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paragraph" w:styleId="af7">
    <w:name w:val="No Spacing"/>
    <w:basedOn w:val="a"/>
    <w:uiPriority w:val="1"/>
    <w:qFormat/>
    <w:rsid w:val="00806BC3"/>
    <w:pPr>
      <w:spacing w:after="0" w:line="240" w:lineRule="auto"/>
    </w:pPr>
  </w:style>
  <w:style w:type="paragraph" w:styleId="af8">
    <w:name w:val="List Paragraph"/>
    <w:basedOn w:val="a"/>
    <w:uiPriority w:val="34"/>
    <w:qFormat/>
    <w:rsid w:val="00806BC3"/>
    <w:pPr>
      <w:ind w:left="720"/>
      <w:contextualSpacing/>
    </w:pPr>
  </w:style>
  <w:style w:type="paragraph" w:styleId="22">
    <w:name w:val="Quote"/>
    <w:basedOn w:val="a"/>
    <w:next w:val="a"/>
    <w:link w:val="21"/>
    <w:uiPriority w:val="29"/>
    <w:qFormat/>
    <w:rsid w:val="00806BC3"/>
    <w:rPr>
      <w:i w:val="0"/>
      <w:iCs w:val="0"/>
      <w:color w:val="943634" w:themeColor="accent2" w:themeShade="BF"/>
    </w:rPr>
  </w:style>
  <w:style w:type="paragraph" w:styleId="af9">
    <w:name w:val="Intense Quote"/>
    <w:basedOn w:val="a"/>
    <w:next w:val="a"/>
    <w:uiPriority w:val="30"/>
    <w:qFormat/>
    <w:rsid w:val="00806BC3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paragraph" w:styleId="afa">
    <w:name w:val="TOC Heading"/>
    <w:basedOn w:val="1"/>
    <w:next w:val="a"/>
    <w:uiPriority w:val="39"/>
    <w:semiHidden/>
    <w:unhideWhenUsed/>
    <w:qFormat/>
    <w:rsid w:val="00806BC3"/>
    <w:pPr>
      <w:shd w:val="clear" w:color="auto" w:fill="F2DBDB"/>
    </w:pPr>
    <w:rPr>
      <w:lang w:bidi="en-US"/>
    </w:rPr>
  </w:style>
  <w:style w:type="paragraph" w:customStyle="1" w:styleId="afb">
    <w:name w:val="Верхний и нижний колонтитулы"/>
    <w:basedOn w:val="a"/>
    <w:qFormat/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AA7F8C"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footer"/>
    <w:basedOn w:val="a"/>
    <w:uiPriority w:val="99"/>
    <w:unhideWhenUsed/>
    <w:rsid w:val="00AA7F8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styleId="aff1">
    <w:name w:val="Balloon Text"/>
    <w:basedOn w:val="a"/>
    <w:link w:val="aff2"/>
    <w:uiPriority w:val="99"/>
    <w:semiHidden/>
    <w:unhideWhenUsed/>
    <w:rsid w:val="004A2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4A23A6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Администратор2</dc:creator>
  <dc:description/>
  <cp:lastModifiedBy>Настя</cp:lastModifiedBy>
  <cp:revision>18</cp:revision>
  <cp:lastPrinted>2023-07-13T05:46:00Z</cp:lastPrinted>
  <dcterms:created xsi:type="dcterms:W3CDTF">2021-09-10T05:08:00Z</dcterms:created>
  <dcterms:modified xsi:type="dcterms:W3CDTF">2023-07-13T05:46:00Z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