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0ED" w:rsidRPr="00BB6A87" w:rsidRDefault="00B900ED" w:rsidP="00B900ED">
      <w:pPr>
        <w:spacing w:after="0" w:line="240" w:lineRule="auto"/>
        <w:rPr>
          <w:rFonts w:ascii="Liberation Serif" w:hAnsi="Liberation Serif"/>
        </w:rPr>
      </w:pPr>
    </w:p>
    <w:tbl>
      <w:tblPr>
        <w:tblW w:w="0" w:type="auto"/>
        <w:jc w:val="right"/>
        <w:tblInd w:w="-571" w:type="dxa"/>
        <w:tblLook w:val="04A0" w:firstRow="1" w:lastRow="0" w:firstColumn="1" w:lastColumn="0" w:noHBand="0" w:noVBand="1"/>
      </w:tblPr>
      <w:tblGrid>
        <w:gridCol w:w="4472"/>
      </w:tblGrid>
      <w:tr w:rsidR="00B900ED" w:rsidRPr="00BB6A87" w:rsidTr="00FE7975">
        <w:trPr>
          <w:jc w:val="right"/>
        </w:trPr>
        <w:tc>
          <w:tcPr>
            <w:tcW w:w="4472" w:type="dxa"/>
          </w:tcPr>
          <w:p w:rsidR="00B900ED" w:rsidRPr="00BE4AA6" w:rsidRDefault="00B900ED"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Утвержден</w:t>
            </w:r>
          </w:p>
          <w:p w:rsidR="00B900ED" w:rsidRPr="00BE4AA6" w:rsidRDefault="00B900ED"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постановлени</w:t>
            </w:r>
            <w:r>
              <w:rPr>
                <w:rFonts w:ascii="Liberation Serif" w:eastAsia="Times New Roman" w:hAnsi="Liberation Serif"/>
                <w:lang w:eastAsia="ru-RU"/>
              </w:rPr>
              <w:t>ем</w:t>
            </w:r>
            <w:r w:rsidRPr="00BE4AA6">
              <w:rPr>
                <w:rFonts w:ascii="Liberation Serif" w:eastAsia="Times New Roman" w:hAnsi="Liberation Serif"/>
                <w:lang w:eastAsia="ru-RU"/>
              </w:rPr>
              <w:t xml:space="preserve"> Главы</w:t>
            </w:r>
          </w:p>
          <w:p w:rsidR="00B900ED" w:rsidRPr="00BE4AA6" w:rsidRDefault="00B900ED"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МО «Каменский городской округ»</w:t>
            </w:r>
          </w:p>
          <w:p w:rsidR="00B900ED" w:rsidRDefault="00B900ED" w:rsidP="00FE7975">
            <w:pPr>
              <w:spacing w:after="0" w:line="240" w:lineRule="auto"/>
              <w:rPr>
                <w:rFonts w:ascii="Liberation Serif" w:eastAsia="Times New Roman" w:hAnsi="Liberation Serif"/>
                <w:lang w:eastAsia="ru-RU"/>
              </w:rPr>
            </w:pPr>
            <w:r w:rsidRPr="00A90736">
              <w:rPr>
                <w:rFonts w:ascii="Liberation Serif" w:eastAsia="Times New Roman" w:hAnsi="Liberation Serif"/>
                <w:lang w:eastAsia="ru-RU"/>
              </w:rPr>
              <w:t xml:space="preserve">от 31.08.2021 г. № 1448 </w:t>
            </w:r>
          </w:p>
          <w:p w:rsidR="00B900ED" w:rsidRPr="003A4CF3" w:rsidRDefault="00B900ED" w:rsidP="00FE7975">
            <w:pPr>
              <w:spacing w:after="0" w:line="240" w:lineRule="auto"/>
              <w:rPr>
                <w:rFonts w:ascii="Liberation Serif" w:eastAsia="Times New Roman" w:hAnsi="Liberation Serif"/>
                <w:sz w:val="20"/>
                <w:szCs w:val="20"/>
                <w:lang w:eastAsia="ru-RU"/>
              </w:rPr>
            </w:pPr>
            <w:proofErr w:type="gramStart"/>
            <w:r w:rsidRPr="003A4CF3">
              <w:rPr>
                <w:rFonts w:ascii="Liberation Serif" w:eastAsia="Times New Roman" w:hAnsi="Liberation Serif"/>
                <w:sz w:val="20"/>
                <w:szCs w:val="20"/>
                <w:lang w:eastAsia="ru-RU"/>
              </w:rPr>
              <w:t>«</w:t>
            </w:r>
            <w:r w:rsidRPr="00C27978">
              <w:rPr>
                <w:rFonts w:ascii="Liberation Serif" w:eastAsia="Times New Roman" w:hAnsi="Liberation Serif"/>
                <w:sz w:val="20"/>
                <w:szCs w:val="20"/>
                <w:lang w:eastAsia="ru-RU"/>
              </w:rPr>
              <w:t>Об утверждении реестра (карты) коррупционных рисков, возникающих при осуществлении закупок, плана (реестра) мер, направленных на минимизацию коррупционных рисков, 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 градации степени выраженности параметров «вероятность реализации» и «возможный вред</w:t>
            </w:r>
            <w:proofErr w:type="gramEnd"/>
            <w:r w:rsidRPr="00C27978">
              <w:rPr>
                <w:rFonts w:ascii="Liberation Serif" w:eastAsia="Times New Roman" w:hAnsi="Liberation Serif"/>
                <w:sz w:val="20"/>
                <w:szCs w:val="20"/>
                <w:lang w:eastAsia="ru-RU"/>
              </w:rPr>
              <w:t>»  коррупционных рисков при осуществлении закупок для нужд Думы Каменского городского округа, Контрольного органа Каменского городского округа, Администрации Каменского городского округа, отраслевых (функциональных) и территориальных органов Администрации Каменского городского округа и подведомственных им казенных и бюджетных учреждений</w:t>
            </w:r>
            <w:r w:rsidRPr="003A4CF3">
              <w:rPr>
                <w:rFonts w:ascii="Liberation Serif" w:eastAsia="Times New Roman" w:hAnsi="Liberation Serif"/>
                <w:sz w:val="20"/>
                <w:szCs w:val="20"/>
                <w:lang w:eastAsia="ru-RU"/>
              </w:rPr>
              <w:t>»</w:t>
            </w:r>
          </w:p>
        </w:tc>
      </w:tr>
    </w:tbl>
    <w:p w:rsidR="00B900ED" w:rsidRPr="00BB6A87" w:rsidRDefault="00B900ED" w:rsidP="00B900ED">
      <w:pPr>
        <w:spacing w:after="0" w:line="240" w:lineRule="auto"/>
        <w:ind w:left="5670"/>
        <w:jc w:val="right"/>
        <w:rPr>
          <w:rFonts w:ascii="Liberation Serif" w:eastAsia="Times New Roman" w:hAnsi="Liberation Serif"/>
          <w:lang w:eastAsia="ru-RU"/>
        </w:rPr>
      </w:pPr>
    </w:p>
    <w:p w:rsidR="00B900ED" w:rsidRDefault="00B900ED" w:rsidP="00B900ED">
      <w:pPr>
        <w:tabs>
          <w:tab w:val="left" w:pos="0"/>
        </w:tabs>
        <w:spacing w:after="0" w:line="240" w:lineRule="auto"/>
        <w:jc w:val="center"/>
        <w:rPr>
          <w:rFonts w:ascii="Liberation Serif" w:hAnsi="Liberation Serif"/>
          <w:b/>
          <w:bCs/>
          <w:sz w:val="20"/>
          <w:szCs w:val="20"/>
          <w:lang w:eastAsia="ru-RU"/>
        </w:rPr>
      </w:pPr>
      <w:r>
        <w:rPr>
          <w:rFonts w:ascii="Liberation Serif" w:hAnsi="Liberation Serif"/>
          <w:b/>
          <w:bCs/>
          <w:sz w:val="20"/>
          <w:szCs w:val="20"/>
          <w:lang w:eastAsia="ru-RU"/>
        </w:rPr>
        <w:t>Р</w:t>
      </w:r>
      <w:r w:rsidRPr="001A4780">
        <w:rPr>
          <w:rFonts w:ascii="Liberation Serif" w:hAnsi="Liberation Serif"/>
          <w:b/>
          <w:bCs/>
          <w:sz w:val="20"/>
          <w:szCs w:val="20"/>
          <w:lang w:eastAsia="ru-RU"/>
        </w:rPr>
        <w:t xml:space="preserve">еестр (карту) коррупционных рисков, </w:t>
      </w:r>
      <w:r w:rsidRPr="00C27978">
        <w:rPr>
          <w:rFonts w:ascii="Liberation Serif" w:hAnsi="Liberation Serif"/>
          <w:b/>
          <w:bCs/>
          <w:sz w:val="20"/>
          <w:szCs w:val="20"/>
          <w:lang w:eastAsia="ru-RU"/>
        </w:rPr>
        <w:t>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w:t>
      </w:r>
    </w:p>
    <w:p w:rsidR="00B900ED" w:rsidRPr="003A4CF3" w:rsidRDefault="00B900ED" w:rsidP="00B900ED">
      <w:pPr>
        <w:tabs>
          <w:tab w:val="left" w:pos="0"/>
        </w:tabs>
        <w:spacing w:after="0" w:line="240" w:lineRule="auto"/>
        <w:jc w:val="center"/>
        <w:rPr>
          <w:rFonts w:ascii="Liberation Serif" w:hAnsi="Liberation Serif"/>
          <w:b/>
          <w:bCs/>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2557"/>
        <w:gridCol w:w="3402"/>
        <w:gridCol w:w="3118"/>
        <w:gridCol w:w="2552"/>
        <w:gridCol w:w="2410"/>
      </w:tblGrid>
      <w:tr w:rsidR="00B900ED" w:rsidRPr="00FB1A89" w:rsidTr="00FE7975">
        <w:tc>
          <w:tcPr>
            <w:tcW w:w="624" w:type="dxa"/>
            <w:vMerge w:val="restart"/>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N </w:t>
            </w:r>
            <w:proofErr w:type="gramStart"/>
            <w:r w:rsidRPr="00FB1A89">
              <w:rPr>
                <w:rFonts w:ascii="Liberation Serif" w:hAnsi="Liberation Serif" w:cs="Liberation Serif"/>
                <w:sz w:val="20"/>
                <w:szCs w:val="20"/>
                <w:lang w:eastAsia="ru-RU"/>
              </w:rPr>
              <w:t>п</w:t>
            </w:r>
            <w:proofErr w:type="gramEnd"/>
            <w:r w:rsidRPr="00FB1A89">
              <w:rPr>
                <w:rFonts w:ascii="Liberation Serif" w:hAnsi="Liberation Serif" w:cs="Liberation Serif"/>
                <w:sz w:val="20"/>
                <w:szCs w:val="20"/>
                <w:lang w:eastAsia="ru-RU"/>
              </w:rPr>
              <w:t>/п</w:t>
            </w:r>
          </w:p>
        </w:tc>
        <w:tc>
          <w:tcPr>
            <w:tcW w:w="2557" w:type="dxa"/>
            <w:vMerge w:val="restart"/>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Краткое наименование коррупционного риска</w:t>
            </w:r>
          </w:p>
        </w:tc>
        <w:tc>
          <w:tcPr>
            <w:tcW w:w="3402" w:type="dxa"/>
            <w:vMerge w:val="restart"/>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Описание возможной коррупционной схемы</w:t>
            </w:r>
          </w:p>
        </w:tc>
        <w:tc>
          <w:tcPr>
            <w:tcW w:w="3118" w:type="dxa"/>
            <w:vMerge w:val="restart"/>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Наименование должностей служащих (работников), которые могут участвовать в реализации </w:t>
            </w:r>
            <w:r w:rsidRPr="00FB1A89">
              <w:rPr>
                <w:rFonts w:ascii="Liberation Serif" w:hAnsi="Liberation Serif" w:cs="Liberation Serif"/>
                <w:sz w:val="20"/>
                <w:szCs w:val="20"/>
                <w:lang w:eastAsia="ru-RU"/>
              </w:rPr>
              <w:lastRenderedPageBreak/>
              <w:t>коррупционной схемы</w:t>
            </w:r>
          </w:p>
        </w:tc>
        <w:tc>
          <w:tcPr>
            <w:tcW w:w="4962" w:type="dxa"/>
            <w:gridSpan w:val="2"/>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lastRenderedPageBreak/>
              <w:t>Меры по минимизации коррупционных рисков</w:t>
            </w:r>
          </w:p>
        </w:tc>
      </w:tr>
      <w:tr w:rsidR="00B900ED" w:rsidRPr="00FB1A89" w:rsidTr="00FE7975">
        <w:tc>
          <w:tcPr>
            <w:tcW w:w="624" w:type="dxa"/>
            <w:vMerge/>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p>
        </w:tc>
        <w:tc>
          <w:tcPr>
            <w:tcW w:w="2557" w:type="dxa"/>
            <w:vMerge/>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p>
        </w:tc>
        <w:tc>
          <w:tcPr>
            <w:tcW w:w="3402" w:type="dxa"/>
            <w:vMerge/>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p>
        </w:tc>
        <w:tc>
          <w:tcPr>
            <w:tcW w:w="3118" w:type="dxa"/>
            <w:vMerge/>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Реализуемые</w:t>
            </w:r>
          </w:p>
        </w:tc>
        <w:tc>
          <w:tcPr>
            <w:tcW w:w="2410"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Предлагаемые</w:t>
            </w:r>
          </w:p>
        </w:tc>
      </w:tr>
      <w:tr w:rsidR="00B900ED" w:rsidRPr="00FB1A89" w:rsidTr="00FE7975">
        <w:tc>
          <w:tcPr>
            <w:tcW w:w="624"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lastRenderedPageBreak/>
              <w:t>1.</w:t>
            </w:r>
          </w:p>
        </w:tc>
        <w:tc>
          <w:tcPr>
            <w:tcW w:w="2557"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Разработка и составление технического задания (описание объекта закупки)</w:t>
            </w:r>
          </w:p>
        </w:tc>
        <w:tc>
          <w:tcPr>
            <w:tcW w:w="340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На стадии разработки технического задания возможно необоснованное расширение (ограничение) круга возможных участников закупок посредством расшире</w:t>
            </w:r>
            <w:bookmarkStart w:id="0" w:name="_GoBack"/>
            <w:bookmarkEnd w:id="0"/>
            <w:r w:rsidRPr="00FB1A89">
              <w:rPr>
                <w:rFonts w:ascii="Liberation Serif" w:hAnsi="Liberation Serif" w:cs="Liberation Serif"/>
                <w:sz w:val="20"/>
                <w:szCs w:val="20"/>
                <w:lang w:eastAsia="ru-RU"/>
              </w:rPr>
              <w:t>ния (сужения) круга лиц, удовлетворяющих потребностям заказчика. Предварительный сговор с участниками закупки при описании объекта закупки.</w:t>
            </w:r>
          </w:p>
        </w:tc>
        <w:tc>
          <w:tcPr>
            <w:tcW w:w="3118"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отвечающие за разработку технического задания (описания объекта закупки).</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контрактной службы.</w:t>
            </w:r>
          </w:p>
        </w:tc>
        <w:tc>
          <w:tcPr>
            <w:tcW w:w="255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Проведение исследования рынка, использование типовых описаний объекта закупки. Применение КТРУ и ст. 33 Закона о контрактной системе № 44-ФЗ.</w:t>
            </w:r>
          </w:p>
        </w:tc>
        <w:tc>
          <w:tcPr>
            <w:tcW w:w="2410"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Повышение квалификации специалистов, осуществляющих разработку и составление технического задания. Использование типовых описаний объекта закупки. Применение Каталога товаров, работ, услуг и ст.33 ФЗ-44</w:t>
            </w:r>
          </w:p>
        </w:tc>
      </w:tr>
      <w:tr w:rsidR="00B900ED" w:rsidRPr="00FB1A89" w:rsidTr="00FE7975">
        <w:tc>
          <w:tcPr>
            <w:tcW w:w="624"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2.</w:t>
            </w:r>
          </w:p>
        </w:tc>
        <w:tc>
          <w:tcPr>
            <w:tcW w:w="2557"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Определение начальной (максимальной) цены контракта.</w:t>
            </w:r>
          </w:p>
        </w:tc>
        <w:tc>
          <w:tcPr>
            <w:tcW w:w="340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sz w:val="20"/>
                <w:szCs w:val="20"/>
              </w:rPr>
              <w:t>При подготовке обоснования начальной (максимальной) цены контракта необоснованно завышена (занижена) начальная (максимальная) цена контракта.</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B900ED"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Pr>
                <w:rFonts w:ascii="Liberation Serif" w:hAnsi="Liberation Serif" w:cs="Liberation Serif"/>
                <w:sz w:val="20"/>
                <w:szCs w:val="20"/>
                <w:lang w:eastAsia="ru-RU"/>
              </w:rPr>
              <w:t>Контрактный управляющий</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контрактной службы</w:t>
            </w:r>
          </w:p>
        </w:tc>
        <w:tc>
          <w:tcPr>
            <w:tcW w:w="255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Использование имеющихся методов для обоснования начальной (максимальной) цены контракта. Обязательное обоснование НМЦК, включая обоснование при закупке с единственным поставщиком (подрядчиком, исполнителем).</w:t>
            </w:r>
          </w:p>
        </w:tc>
        <w:tc>
          <w:tcPr>
            <w:tcW w:w="2410"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sz w:val="20"/>
                <w:szCs w:val="20"/>
              </w:rPr>
              <w:t>Проведение мониторинга цен на товары, работы, услуги в целях недопущения завышения (занижения) начальных (максимальных) цен контрактов при осуществлении закупок</w:t>
            </w:r>
          </w:p>
        </w:tc>
      </w:tr>
      <w:tr w:rsidR="00B900ED" w:rsidRPr="00FB1A89" w:rsidTr="00FE7975">
        <w:tc>
          <w:tcPr>
            <w:tcW w:w="624"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3.</w:t>
            </w:r>
          </w:p>
        </w:tc>
        <w:tc>
          <w:tcPr>
            <w:tcW w:w="2557"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Выбор способа определения поставщика</w:t>
            </w:r>
          </w:p>
        </w:tc>
        <w:tc>
          <w:tcPr>
            <w:tcW w:w="340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Необоснованное, неоднократное  заключение контракта с единственным поставщиком (подрядчиком, исполнителем) без проведения конкурентных процедур в нарушение  требований ч.1 ст. 93 Федерального закона № 44-ФЗ.</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Искусственное дробление закупок на несколько отдельных, с целью упрощения способа закупки.</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trike/>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отвечающие за разработку технического задания (описания объекта закупки).</w:t>
            </w:r>
          </w:p>
        </w:tc>
        <w:tc>
          <w:tcPr>
            <w:tcW w:w="255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Заключение контракта с единственным поставщиком (подрядчиком, исполнителем)</w:t>
            </w:r>
            <w:r w:rsidRPr="00FB1A89">
              <w:rPr>
                <w:rFonts w:ascii="Liberation Serif" w:hAnsi="Liberation Serif"/>
                <w:sz w:val="20"/>
                <w:szCs w:val="20"/>
              </w:rPr>
              <w:t xml:space="preserve"> </w:t>
            </w:r>
            <w:r w:rsidRPr="00FB1A89">
              <w:rPr>
                <w:rFonts w:ascii="Liberation Serif" w:hAnsi="Liberation Serif" w:cs="Liberation Serif"/>
                <w:sz w:val="20"/>
                <w:szCs w:val="20"/>
                <w:lang w:eastAsia="ru-RU"/>
              </w:rPr>
              <w:t>в соответствии с  требованиями ч.1 ст. 93 Федерального закона № 44-ФЗ.</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Определение поставщика конкурентными способами. Недопустимость необоснованного дробления </w:t>
            </w:r>
            <w:r w:rsidRPr="00FB1A89">
              <w:rPr>
                <w:rFonts w:ascii="Liberation Serif" w:hAnsi="Liberation Serif" w:cs="Liberation Serif"/>
                <w:sz w:val="20"/>
                <w:szCs w:val="20"/>
                <w:lang w:eastAsia="ru-RU"/>
              </w:rPr>
              <w:lastRenderedPageBreak/>
              <w:t xml:space="preserve">закупок, влекущего за собой уход от конкурентных процедур. </w:t>
            </w:r>
          </w:p>
        </w:tc>
        <w:tc>
          <w:tcPr>
            <w:tcW w:w="2410"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lastRenderedPageBreak/>
              <w:t>Внедрение системы эффективного планирования закупок.</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Проведение мониторинга на предмет выявления неоднократных закупок однородных товаров, работ, услуг.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Обоснование заказчиком способа определения поставщика.</w:t>
            </w:r>
          </w:p>
        </w:tc>
      </w:tr>
      <w:tr w:rsidR="00B900ED" w:rsidRPr="00FB1A89" w:rsidTr="00FE7975">
        <w:tc>
          <w:tcPr>
            <w:tcW w:w="624"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lastRenderedPageBreak/>
              <w:t>4.</w:t>
            </w:r>
          </w:p>
        </w:tc>
        <w:tc>
          <w:tcPr>
            <w:tcW w:w="2557"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Подготовка документации на осуществление закупки товаров, работ, услуг. Размещение извещения и документации на осуществление закупки товаров, работ, услуг.</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Установление необоснованных преимуще</w:t>
            </w:r>
            <w:proofErr w:type="gramStart"/>
            <w:r w:rsidRPr="00FB1A89">
              <w:rPr>
                <w:rFonts w:ascii="Liberation Serif" w:hAnsi="Liberation Serif" w:cs="Liberation Serif"/>
                <w:sz w:val="20"/>
                <w:szCs w:val="20"/>
                <w:lang w:eastAsia="ru-RU"/>
              </w:rPr>
              <w:t>ств дл</w:t>
            </w:r>
            <w:proofErr w:type="gramEnd"/>
            <w:r w:rsidRPr="00FB1A89">
              <w:rPr>
                <w:rFonts w:ascii="Liberation Serif" w:hAnsi="Liberation Serif" w:cs="Liberation Serif"/>
                <w:sz w:val="20"/>
                <w:szCs w:val="20"/>
                <w:lang w:eastAsia="ru-RU"/>
              </w:rPr>
              <w:t xml:space="preserve">я отдельных лиц при осуществлении закупок товаров, работ, услуг. Разночтение извещения с документацией. Противоречивость объекта закупки, условий исполнения контракта, условий приемки объекта закупки, гарантийных условий.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Объединение в одну закупку разных объектов закупки. Включение в извещение, документацию требований о поставке товаров, выполнении работ, оказании услуг, ограничивающих участие других лиц.</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 Предварительный сговор с участниками закупки.</w:t>
            </w:r>
          </w:p>
        </w:tc>
        <w:tc>
          <w:tcPr>
            <w:tcW w:w="3118"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контрактной службы.</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Уполномоченный орган.</w:t>
            </w:r>
          </w:p>
        </w:tc>
        <w:tc>
          <w:tcPr>
            <w:tcW w:w="255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Установление единых требований к участникам закупки, соблюдение правил описания объекта закупки, использование типовых описаний объектов закупки, типовых контрактов.</w:t>
            </w:r>
          </w:p>
        </w:tc>
        <w:tc>
          <w:tcPr>
            <w:tcW w:w="2410"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Запрет на умышленное, неправомерное включение в документацию о закупках условий, ограничивающих конкуренцию.</w:t>
            </w:r>
          </w:p>
        </w:tc>
      </w:tr>
      <w:tr w:rsidR="00B900ED" w:rsidRPr="00FB1A89" w:rsidTr="00FE7975">
        <w:tc>
          <w:tcPr>
            <w:tcW w:w="624"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5.</w:t>
            </w:r>
          </w:p>
        </w:tc>
        <w:tc>
          <w:tcPr>
            <w:tcW w:w="2557"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Прием и рассмотрение заявок (окончательных предложений) на участие в закупке.</w:t>
            </w:r>
          </w:p>
        </w:tc>
        <w:tc>
          <w:tcPr>
            <w:tcW w:w="340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Предоставление неполной или недостоверной информации о закупке.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Подмена разъяснений ссылками на документацию о закупке.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Прямые контакты и переговоры с поставщиком. Изменения документации под конкретного поставщика. Предварительный сговор с участниками закупки.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Подмена документов в интересах какого-либо участника в обмен на обещанное (полученное) вознаграждение.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Подлог, добавление, изъятие, неприятие заявок на участие в закупках.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Участие в голосовании, </w:t>
            </w:r>
            <w:proofErr w:type="gramStart"/>
            <w:r w:rsidRPr="00FB1A89">
              <w:rPr>
                <w:rFonts w:ascii="Liberation Serif" w:hAnsi="Liberation Serif" w:cs="Liberation Serif"/>
                <w:sz w:val="20"/>
                <w:szCs w:val="20"/>
                <w:lang w:eastAsia="ru-RU"/>
              </w:rPr>
              <w:t>при</w:t>
            </w:r>
            <w:proofErr w:type="gramEnd"/>
            <w:r w:rsidRPr="00FB1A89">
              <w:rPr>
                <w:rFonts w:ascii="Liberation Serif" w:hAnsi="Liberation Serif" w:cs="Liberation Serif"/>
                <w:sz w:val="20"/>
                <w:szCs w:val="20"/>
                <w:lang w:eastAsia="ru-RU"/>
              </w:rPr>
              <w:t xml:space="preserve"> наличие </w:t>
            </w:r>
            <w:r w:rsidRPr="00FB1A89">
              <w:rPr>
                <w:rFonts w:ascii="Liberation Serif" w:hAnsi="Liberation Serif" w:cs="Liberation Serif"/>
                <w:sz w:val="20"/>
                <w:szCs w:val="20"/>
                <w:lang w:eastAsia="ru-RU"/>
              </w:rPr>
              <w:lastRenderedPageBreak/>
              <w:t>близкого родства или свойства с участником закупки.</w:t>
            </w:r>
          </w:p>
        </w:tc>
        <w:tc>
          <w:tcPr>
            <w:tcW w:w="3118"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lastRenderedPageBreak/>
              <w:t>Руководитель контрактной службы (контрактный управляющий).</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контрактной службы.</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Уполномоченный орган.</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Едина комиссия заказчика.</w:t>
            </w:r>
          </w:p>
        </w:tc>
        <w:tc>
          <w:tcPr>
            <w:tcW w:w="255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Указание в документации о закупке максимально подробно критериев оценки товаров, работ, услуг и описания объекта закупки. Публичное открытие доступа к заявкам, поданным в электронном виде. Коллегиальное принятие решений. </w:t>
            </w:r>
          </w:p>
        </w:tc>
        <w:tc>
          <w:tcPr>
            <w:tcW w:w="2410"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Нормативное закрепление порядка раскрытия конфликта интересов и его урегулирования, повышение личной ответственности членов комиссии путем подписания ими заявлений об отсутствии конфликта интересов. Нормативное регулирование порядка и сроков совершения действия работниками при осуществлении </w:t>
            </w:r>
            <w:proofErr w:type="spellStart"/>
            <w:r w:rsidRPr="00FB1A89">
              <w:rPr>
                <w:rFonts w:ascii="Liberation Serif" w:hAnsi="Liberation Serif" w:cs="Liberation Serif"/>
                <w:sz w:val="20"/>
                <w:szCs w:val="20"/>
                <w:lang w:eastAsia="ru-RU"/>
              </w:rPr>
              <w:t>коррупционно</w:t>
            </w:r>
            <w:proofErr w:type="spellEnd"/>
            <w:r w:rsidRPr="00FB1A89">
              <w:rPr>
                <w:rFonts w:ascii="Liberation Serif" w:hAnsi="Liberation Serif" w:cs="Liberation Serif"/>
                <w:sz w:val="20"/>
                <w:szCs w:val="20"/>
                <w:lang w:eastAsia="ru-RU"/>
              </w:rPr>
              <w:t xml:space="preserve"> – опасной функции.</w:t>
            </w:r>
          </w:p>
        </w:tc>
      </w:tr>
      <w:tr w:rsidR="00B900ED" w:rsidRPr="00FB1A89" w:rsidTr="00FE7975">
        <w:tc>
          <w:tcPr>
            <w:tcW w:w="624"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lastRenderedPageBreak/>
              <w:t>6.</w:t>
            </w:r>
          </w:p>
        </w:tc>
        <w:tc>
          <w:tcPr>
            <w:tcW w:w="2557"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Заключение контракта.</w:t>
            </w:r>
          </w:p>
        </w:tc>
        <w:tc>
          <w:tcPr>
            <w:tcW w:w="340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Необоснованные изменения условий контракта. Затягивание (ускорение) заключения контракта.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Запрос недопустимых или необъявленных документов и сведений при заключении контракта.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Необоснованный отказ от заключения контракта.</w:t>
            </w:r>
          </w:p>
        </w:tc>
        <w:tc>
          <w:tcPr>
            <w:tcW w:w="3118"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отвечающие за разработку технического задания (описания объекта закупки).</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Технические заказчики.</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Своевременная подготовка и направление заказчиком проектов контрактов победителю закупки.</w:t>
            </w:r>
          </w:p>
        </w:tc>
        <w:tc>
          <w:tcPr>
            <w:tcW w:w="2410"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Нормативное регулирование порядка и сроков совершения действия работниками при осуществлении </w:t>
            </w:r>
            <w:proofErr w:type="spellStart"/>
            <w:r w:rsidRPr="00FB1A89">
              <w:rPr>
                <w:rFonts w:ascii="Liberation Serif" w:hAnsi="Liberation Serif" w:cs="Liberation Serif"/>
                <w:sz w:val="20"/>
                <w:szCs w:val="20"/>
                <w:lang w:eastAsia="ru-RU"/>
              </w:rPr>
              <w:t>коррупционно</w:t>
            </w:r>
            <w:proofErr w:type="spellEnd"/>
            <w:r w:rsidRPr="00FB1A89">
              <w:rPr>
                <w:rFonts w:ascii="Liberation Serif" w:hAnsi="Liberation Serif" w:cs="Liberation Serif"/>
                <w:sz w:val="20"/>
                <w:szCs w:val="20"/>
                <w:lang w:eastAsia="ru-RU"/>
              </w:rPr>
              <w:t xml:space="preserve"> – опасной функции.</w:t>
            </w:r>
          </w:p>
        </w:tc>
      </w:tr>
      <w:tr w:rsidR="00B900ED" w:rsidRPr="00FB1A89" w:rsidTr="00FE7975">
        <w:tc>
          <w:tcPr>
            <w:tcW w:w="624"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7.</w:t>
            </w:r>
          </w:p>
        </w:tc>
        <w:tc>
          <w:tcPr>
            <w:tcW w:w="2557"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Исполнение контрактов. Приемка выполненных работ, оказанных услуг, поставленных товаров.</w:t>
            </w:r>
          </w:p>
        </w:tc>
        <w:tc>
          <w:tcPr>
            <w:tcW w:w="340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Умышленное, неправомерное нарушение установленных муниципальным контрактом сроков приемки поставленных товаров, выполненных работ, оказанных услуг и подлог результатов приемки. Необоснованно жесткие (мягкие) или необъявленные условия приемки продукции по контракту.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Подписание актов приемки поставленных товаров, выполненных работ, оказанных услуг с нарушением требований муниципального контракта. </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Необоснованное отсутствие контроля над исполнением гарантий или игнорирование гарантийного периода.</w:t>
            </w:r>
          </w:p>
        </w:tc>
        <w:tc>
          <w:tcPr>
            <w:tcW w:w="3118"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отвечающие за разработку технического задания (описания объекта закупки).</w:t>
            </w:r>
          </w:p>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Технические заказчики.</w:t>
            </w:r>
          </w:p>
        </w:tc>
        <w:tc>
          <w:tcPr>
            <w:tcW w:w="2552"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Приемка товаров, работ, услуг соответствующих требованиям, установленным контрактом (договором). Регулярное повышение квалификации сотрудников осуществляющих организацию закупок товаров, работ, услуг.</w:t>
            </w:r>
          </w:p>
        </w:tc>
        <w:tc>
          <w:tcPr>
            <w:tcW w:w="2410"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Привлечение экспертов к проведению проверки предоставленных поставщиком результатов, предусмотренных контрактом. Комиссионный прием результатов выполненных работ (поставленных товаров, оказанных услуг).</w:t>
            </w:r>
          </w:p>
        </w:tc>
      </w:tr>
    </w:tbl>
    <w:p w:rsidR="005A65B9" w:rsidRDefault="005A65B9"/>
    <w:sectPr w:rsidR="005A65B9" w:rsidSect="00B900ED">
      <w:headerReference w:type="default" r:id="rId8"/>
      <w:pgSz w:w="16838" w:h="11906" w:orient="landscape"/>
      <w:pgMar w:top="1701" w:right="1134" w:bottom="850" w:left="1134"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B09" w:rsidRDefault="00207B09" w:rsidP="00B900ED">
      <w:pPr>
        <w:spacing w:after="0" w:line="240" w:lineRule="auto"/>
      </w:pPr>
      <w:r>
        <w:separator/>
      </w:r>
    </w:p>
  </w:endnote>
  <w:endnote w:type="continuationSeparator" w:id="0">
    <w:p w:rsidR="00207B09" w:rsidRDefault="00207B09" w:rsidP="00B9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B09" w:rsidRDefault="00207B09" w:rsidP="00B900ED">
      <w:pPr>
        <w:spacing w:after="0" w:line="240" w:lineRule="auto"/>
      </w:pPr>
      <w:r>
        <w:separator/>
      </w:r>
    </w:p>
  </w:footnote>
  <w:footnote w:type="continuationSeparator" w:id="0">
    <w:p w:rsidR="00207B09" w:rsidRDefault="00207B09" w:rsidP="00B900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649728"/>
      <w:docPartObj>
        <w:docPartGallery w:val="Page Numbers (Top of Page)"/>
        <w:docPartUnique/>
      </w:docPartObj>
    </w:sdtPr>
    <w:sdtEndPr>
      <w:rPr>
        <w:sz w:val="20"/>
        <w:szCs w:val="20"/>
      </w:rPr>
    </w:sdtEndPr>
    <w:sdtContent>
      <w:p w:rsidR="00B900ED" w:rsidRPr="00B900ED" w:rsidRDefault="00B900ED">
        <w:pPr>
          <w:pStyle w:val="a3"/>
          <w:jc w:val="center"/>
          <w:rPr>
            <w:sz w:val="20"/>
            <w:szCs w:val="20"/>
          </w:rPr>
        </w:pPr>
        <w:r w:rsidRPr="00B900ED">
          <w:rPr>
            <w:sz w:val="20"/>
            <w:szCs w:val="20"/>
          </w:rPr>
          <w:fldChar w:fldCharType="begin"/>
        </w:r>
        <w:r w:rsidRPr="00B900ED">
          <w:rPr>
            <w:sz w:val="20"/>
            <w:szCs w:val="20"/>
          </w:rPr>
          <w:instrText>PAGE   \* MERGEFORMAT</w:instrText>
        </w:r>
        <w:r w:rsidRPr="00B900ED">
          <w:rPr>
            <w:sz w:val="20"/>
            <w:szCs w:val="20"/>
          </w:rPr>
          <w:fldChar w:fldCharType="separate"/>
        </w:r>
        <w:r>
          <w:rPr>
            <w:noProof/>
            <w:sz w:val="20"/>
            <w:szCs w:val="20"/>
          </w:rPr>
          <w:t>2</w:t>
        </w:r>
        <w:r w:rsidRPr="00B900ED">
          <w:rPr>
            <w:sz w:val="20"/>
            <w:szCs w:val="20"/>
          </w:rPr>
          <w:fldChar w:fldCharType="end"/>
        </w:r>
      </w:p>
    </w:sdtContent>
  </w:sdt>
  <w:p w:rsidR="00B900ED" w:rsidRDefault="00B900E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94B"/>
    <w:rsid w:val="00207B09"/>
    <w:rsid w:val="005A65B9"/>
    <w:rsid w:val="00A7094B"/>
    <w:rsid w:val="00B90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0ED"/>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00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00ED"/>
    <w:rPr>
      <w:rFonts w:ascii="Times New Roman" w:eastAsia="Calibri" w:hAnsi="Times New Roman" w:cs="Times New Roman"/>
      <w:sz w:val="28"/>
      <w:szCs w:val="28"/>
    </w:rPr>
  </w:style>
  <w:style w:type="paragraph" w:styleId="a5">
    <w:name w:val="footer"/>
    <w:basedOn w:val="a"/>
    <w:link w:val="a6"/>
    <w:uiPriority w:val="99"/>
    <w:unhideWhenUsed/>
    <w:rsid w:val="00B900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00ED"/>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0ED"/>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00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00ED"/>
    <w:rPr>
      <w:rFonts w:ascii="Times New Roman" w:eastAsia="Calibri" w:hAnsi="Times New Roman" w:cs="Times New Roman"/>
      <w:sz w:val="28"/>
      <w:szCs w:val="28"/>
    </w:rPr>
  </w:style>
  <w:style w:type="paragraph" w:styleId="a5">
    <w:name w:val="footer"/>
    <w:basedOn w:val="a"/>
    <w:link w:val="a6"/>
    <w:uiPriority w:val="99"/>
    <w:unhideWhenUsed/>
    <w:rsid w:val="00B900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00ED"/>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4ED71-7846-4DFB-A96A-4EF2974B0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1236</Words>
  <Characters>7050</Characters>
  <Application>Microsoft Office Word</Application>
  <DocSecurity>0</DocSecurity>
  <Lines>58</Lines>
  <Paragraphs>16</Paragraphs>
  <ScaleCrop>false</ScaleCrop>
  <Company/>
  <LinksUpToDate>false</LinksUpToDate>
  <CharactersWithSpaces>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2</cp:revision>
  <dcterms:created xsi:type="dcterms:W3CDTF">2021-09-02T04:22:00Z</dcterms:created>
  <dcterms:modified xsi:type="dcterms:W3CDTF">2021-09-02T04:24:00Z</dcterms:modified>
</cp:coreProperties>
</file>